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4549" w14:textId="77777777" w:rsidR="00D1531D" w:rsidRDefault="00D1531D">
      <w:pPr>
        <w:pStyle w:val="a3"/>
        <w:jc w:val="center"/>
        <w:rPr>
          <w:b/>
          <w:bCs/>
          <w:sz w:val="32"/>
          <w:szCs w:val="32"/>
        </w:rPr>
      </w:pPr>
      <w:r w:rsidRPr="00D1531D">
        <w:rPr>
          <w:rFonts w:hint="eastAsia"/>
          <w:b/>
          <w:bCs/>
          <w:sz w:val="32"/>
          <w:szCs w:val="32"/>
        </w:rPr>
        <w:t>国产化学发光分析仪及其配套试剂、耗材</w:t>
      </w:r>
    </w:p>
    <w:p w14:paraId="3C7EA331" w14:textId="71BFA57B" w:rsidR="00047A31" w:rsidRDefault="00D1531D">
      <w:pPr>
        <w:pStyle w:val="a3"/>
        <w:jc w:val="center"/>
        <w:rPr>
          <w:b/>
          <w:bCs/>
          <w:sz w:val="32"/>
          <w:szCs w:val="32"/>
        </w:rPr>
      </w:pPr>
      <w:r w:rsidRPr="00D1531D">
        <w:rPr>
          <w:rFonts w:hint="eastAsia"/>
          <w:b/>
          <w:bCs/>
          <w:sz w:val="32"/>
          <w:szCs w:val="32"/>
        </w:rPr>
        <w:t>技术规格需求</w:t>
      </w:r>
    </w:p>
    <w:p w14:paraId="61476963" w14:textId="77777777" w:rsidR="00047A31" w:rsidRDefault="00000000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血栓检测项目</w:t>
      </w:r>
    </w:p>
    <w:p w14:paraId="0442EC8D" w14:textId="5F285B8F" w:rsidR="00047A31" w:rsidRPr="00CA4102" w:rsidRDefault="00000000" w:rsidP="00CA4102">
      <w:pPr>
        <w:pStyle w:val="a3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血栓调节蛋白(TM)、凝血酶-抗凝血酶III复合物（TAT）、组织型纤溶酶原激活剂-抑制剂1复合物（tPAIC)、纤溶酶-α2纤溶酶抑制剂复合物（PIC）。</w:t>
      </w:r>
    </w:p>
    <w:p w14:paraId="167988D5" w14:textId="77777777" w:rsidR="00047A31" w:rsidRDefault="00000000">
      <w:pPr>
        <w:pStyle w:val="a3"/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各检测项目招标参数</w:t>
      </w:r>
    </w:p>
    <w:p w14:paraId="4F832247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1.血栓调节蛋白(TM）</w:t>
      </w:r>
    </w:p>
    <w:p w14:paraId="74C6E1E5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1.1方法学：直接化学发光或酶促化学发光法。</w:t>
      </w:r>
    </w:p>
    <w:p w14:paraId="0CD501CF" w14:textId="77777777" w:rsidR="00047A31" w:rsidRDefault="0000000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1.2精密度：批内精密度CV＜5%，批间精密度CV＜10%。</w:t>
      </w:r>
    </w:p>
    <w:p w14:paraId="62B3202A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1.3试剂灵敏度：TM检出限（LoD）≤0.7 TU/mL。</w:t>
      </w:r>
    </w:p>
    <w:p w14:paraId="0CE5CD6B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1.4配套耗材及校准：试剂盒自带校准品和质控品，内置10点标准曲线，实验室只需采用两点校准。</w:t>
      </w:r>
    </w:p>
    <w:p w14:paraId="67063366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1.5试剂包装：集成式试剂盒，无需预处理，即开即用。</w:t>
      </w:r>
    </w:p>
    <w:p w14:paraId="73EEAC5D" w14:textId="77777777" w:rsidR="00047A31" w:rsidRDefault="00000000">
      <w:pPr>
        <w:pStyle w:val="a3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2.凝血酶-抗凝血酶III复合物（TAT）</w:t>
      </w:r>
    </w:p>
    <w:p w14:paraId="26576399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2.1方法学：直接化学发光或酶促化学发光法。</w:t>
      </w:r>
    </w:p>
    <w:p w14:paraId="0194A925" w14:textId="77777777" w:rsidR="00047A31" w:rsidRDefault="0000000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2.2精密度：批内精密度CV＜5%，批间精密度CV＜10%。</w:t>
      </w:r>
    </w:p>
    <w:p w14:paraId="3F29ABA3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2.3试剂灵敏度：TAT检出限（LoD）≤0.3 ng/mL</w:t>
      </w:r>
    </w:p>
    <w:p w14:paraId="3CAA52B9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2.4配套耗材及校准：试剂盒自带校准品和质控品，内置10点标准曲线，实验室只需采用两点校准。</w:t>
      </w:r>
    </w:p>
    <w:p w14:paraId="6D346596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2.5试剂包装：集成式试剂盒，无需预处理，即开即用。</w:t>
      </w:r>
    </w:p>
    <w:p w14:paraId="0E2A184B" w14:textId="77777777" w:rsidR="00047A31" w:rsidRDefault="00000000">
      <w:pPr>
        <w:pStyle w:val="a3"/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组织型纤溶酶原激活剂-抑制剂1复合物（tPAIC)</w:t>
      </w:r>
    </w:p>
    <w:p w14:paraId="7FF29ED4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3.1方法学：直接化学发光或酶促化学发光法。</w:t>
      </w:r>
    </w:p>
    <w:p w14:paraId="19C423F4" w14:textId="77777777" w:rsidR="00047A31" w:rsidRDefault="0000000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3.2精密度：批内精密度CV＜5%，批间精密度CV＜10%。</w:t>
      </w:r>
    </w:p>
    <w:p w14:paraId="14A401B7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3.3试剂灵敏度：tPAIC检出限（LOD）≤0.7 ng/ml</w:t>
      </w:r>
    </w:p>
    <w:p w14:paraId="72E27430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3.4配套耗材及校准：试剂盒自带校准品和质控品，内置10点标准曲线，实验室只需采用两点校准。</w:t>
      </w:r>
    </w:p>
    <w:p w14:paraId="749043CE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3.5试剂包装：集成式试剂盒，无需预处理，即开即用。</w:t>
      </w:r>
    </w:p>
    <w:p w14:paraId="5D86251A" w14:textId="77777777" w:rsidR="00047A31" w:rsidRDefault="00000000">
      <w:pPr>
        <w:pStyle w:val="a3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4.纤溶酶-α2纤溶酶抑制剂复合物（PIC）</w:t>
      </w:r>
    </w:p>
    <w:p w14:paraId="7E4A4C9B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4.1方法学：直接化学发光或酶促化学发光法。</w:t>
      </w:r>
    </w:p>
    <w:p w14:paraId="0369C14F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4.2精密度：批内精密度CV＜5%，批间精密度CV＜10%。</w:t>
      </w:r>
    </w:p>
    <w:p w14:paraId="0B29B5DD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4.3试剂灵敏度：PIC检出限（LOD）≤0.04 ug/mL。</w:t>
      </w:r>
    </w:p>
    <w:p w14:paraId="5A32A1AC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4.4配套耗材及校准：试剂盒自带校准品和质控品，内置10点标准曲线，实验室只需采用两点校准。</w:t>
      </w:r>
    </w:p>
    <w:p w14:paraId="051D0F3A" w14:textId="3C5F689D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4.5试剂包装：集成式试剂盒，无需预处理，即开即用。</w:t>
      </w:r>
    </w:p>
    <w:p w14:paraId="46DDC9C2" w14:textId="77777777" w:rsidR="00047A31" w:rsidRDefault="00000000">
      <w:pPr>
        <w:pStyle w:val="a3"/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化学发光检测仪技术参数</w:t>
      </w:r>
    </w:p>
    <w:p w14:paraId="4591FF54" w14:textId="77777777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1.化学发光检测设备测试速度：单机测试速度≥200测试/小时。</w:t>
      </w:r>
    </w:p>
    <w:p w14:paraId="62722C06" w14:textId="352B63CE" w:rsidR="00047A31" w:rsidRDefault="00000000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2.投标供应商提供的试剂生产厂家，同品牌的化学发光试剂检测项目应≥100项，方便后期采购单位开展新检测项目的需求（提供可开展项目清单及对应产品注册证号和相关说明书）</w:t>
      </w:r>
      <w:r w:rsidR="0003095B">
        <w:rPr>
          <w:rFonts w:ascii="宋体" w:hAnsi="宋体" w:cs="宋体" w:hint="eastAsia"/>
          <w:sz w:val="24"/>
          <w:szCs w:val="24"/>
        </w:rPr>
        <w:t>。</w:t>
      </w:r>
    </w:p>
    <w:p w14:paraId="510FD019" w14:textId="77777777" w:rsidR="00047A31" w:rsidRDefault="00000000">
      <w:pPr>
        <w:pStyle w:val="a3"/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其他</w:t>
      </w:r>
    </w:p>
    <w:p w14:paraId="6B70B87F" w14:textId="7370921B" w:rsidR="00047A31" w:rsidRPr="00CA4102" w:rsidRDefault="00000000" w:rsidP="00CA4102">
      <w:pPr>
        <w:pStyle w:val="a3"/>
        <w:numPr>
          <w:ilvl w:val="0"/>
          <w:numId w:val="3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定标品和质控品：试剂盒自带，无需另外购买（提供CFDA注册证或完整版产品说明书）。</w:t>
      </w:r>
    </w:p>
    <w:p w14:paraId="5E62C60A" w14:textId="77777777" w:rsidR="00047A31" w:rsidRDefault="00000000">
      <w:pPr>
        <w:pStyle w:val="a3"/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试剂配套耗材</w:t>
      </w:r>
    </w:p>
    <w:p w14:paraId="0E5448AD" w14:textId="6E2D5B35" w:rsidR="00047A31" w:rsidRDefault="0003095B" w:rsidP="0003095B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 w:rsidR="00000000">
        <w:rPr>
          <w:rFonts w:ascii="宋体" w:hAnsi="宋体" w:cs="宋体" w:hint="eastAsia"/>
          <w:sz w:val="24"/>
          <w:szCs w:val="24"/>
        </w:rPr>
        <w:t>反应杯：≥500个/盒，采用一次性单个反应杯，支持不间断连续加载</w:t>
      </w:r>
      <w:r w:rsidR="00CA4102">
        <w:rPr>
          <w:rFonts w:ascii="宋体" w:hAnsi="宋体" w:cs="宋体" w:hint="eastAsia"/>
          <w:sz w:val="24"/>
          <w:szCs w:val="24"/>
        </w:rPr>
        <w:t>；</w:t>
      </w:r>
    </w:p>
    <w:p w14:paraId="5274BC8F" w14:textId="6CCA8299" w:rsidR="00047A31" w:rsidRDefault="0003095B" w:rsidP="0003095B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.</w:t>
      </w:r>
      <w:r w:rsidR="00000000">
        <w:rPr>
          <w:rFonts w:ascii="宋体" w:hAnsi="宋体" w:cs="宋体" w:hint="eastAsia"/>
          <w:sz w:val="24"/>
          <w:szCs w:val="24"/>
        </w:rPr>
        <w:t>底物液：≥（400ml）/套，实时余量监控；</w:t>
      </w:r>
    </w:p>
    <w:p w14:paraId="2991CD63" w14:textId="19ED3C56" w:rsidR="00047A31" w:rsidRPr="00CA4102" w:rsidRDefault="0003095B" w:rsidP="0003095B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.</w:t>
      </w:r>
      <w:r w:rsidR="00000000">
        <w:rPr>
          <w:rFonts w:ascii="宋体" w:hAnsi="宋体" w:cs="宋体" w:hint="eastAsia"/>
          <w:sz w:val="24"/>
          <w:szCs w:val="24"/>
        </w:rPr>
        <w:t>清洗液：≥700ml/瓶，支持不间断连续加载，实时余量监控</w:t>
      </w:r>
      <w:r w:rsidR="00CA4102">
        <w:rPr>
          <w:rFonts w:ascii="宋体" w:hAnsi="宋体" w:cs="宋体" w:hint="eastAsia"/>
          <w:sz w:val="24"/>
          <w:szCs w:val="24"/>
        </w:rPr>
        <w:t>。</w:t>
      </w:r>
    </w:p>
    <w:p w14:paraId="3DC4316C" w14:textId="6A89E9B8" w:rsidR="00047A31" w:rsidRDefault="00047A31">
      <w:pPr>
        <w:pStyle w:val="a3"/>
        <w:spacing w:line="360" w:lineRule="auto"/>
        <w:rPr>
          <w:rFonts w:ascii="宋体" w:hAnsi="宋体" w:cs="宋体"/>
          <w:sz w:val="24"/>
          <w:szCs w:val="24"/>
        </w:rPr>
      </w:pPr>
    </w:p>
    <w:sectPr w:rsidR="0004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1F825"/>
    <w:multiLevelType w:val="singleLevel"/>
    <w:tmpl w:val="5A91F8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4D9A7DD"/>
    <w:multiLevelType w:val="singleLevel"/>
    <w:tmpl w:val="64D9A7DD"/>
    <w:lvl w:ilvl="0">
      <w:start w:val="1"/>
      <w:numFmt w:val="decimal"/>
      <w:lvlText w:val="%1."/>
      <w:lvlJc w:val="left"/>
    </w:lvl>
  </w:abstractNum>
  <w:abstractNum w:abstractNumId="2" w15:restartNumberingAfterBreak="0">
    <w:nsid w:val="6851664F"/>
    <w:multiLevelType w:val="singleLevel"/>
    <w:tmpl w:val="6851664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917AC9A"/>
    <w:multiLevelType w:val="singleLevel"/>
    <w:tmpl w:val="7917AC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89732881">
    <w:abstractNumId w:val="3"/>
  </w:num>
  <w:num w:numId="2" w16cid:durableId="886338557">
    <w:abstractNumId w:val="2"/>
  </w:num>
  <w:num w:numId="3" w16cid:durableId="926692693">
    <w:abstractNumId w:val="0"/>
  </w:num>
  <w:num w:numId="4" w16cid:durableId="10165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iNDJhYTNjYjU2ZjhhNTRmNjAxNDVlZTJhMDk1NjEifQ=="/>
  </w:docVars>
  <w:rsids>
    <w:rsidRoot w:val="00047A31"/>
    <w:rsid w:val="0003095B"/>
    <w:rsid w:val="00047A31"/>
    <w:rsid w:val="00AE4C96"/>
    <w:rsid w:val="00CA4102"/>
    <w:rsid w:val="00D1531D"/>
    <w:rsid w:val="7D47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1289"/>
  <w15:docId w15:val="{06A684F9-2816-4421-85CB-02C9CEC3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棉叶西西</dc:creator>
  <cp:lastModifiedBy>Administrator</cp:lastModifiedBy>
  <cp:revision>6</cp:revision>
  <dcterms:created xsi:type="dcterms:W3CDTF">2023-06-01T03:09:00Z</dcterms:created>
  <dcterms:modified xsi:type="dcterms:W3CDTF">2023-08-14T08:40:00Z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508989AE95B6415BBCB85688E7CD029C_13</vt:lpwstr>
  </property>
</Properties>
</file>